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6631" w14:textId="77777777" w:rsidR="00A943D7" w:rsidRPr="00A943D7" w:rsidRDefault="00A943D7" w:rsidP="00A943D7">
      <w:pPr>
        <w:rPr>
          <w:b/>
          <w:sz w:val="32"/>
          <w:szCs w:val="32"/>
        </w:rPr>
      </w:pPr>
      <w:r w:rsidRPr="00A943D7">
        <w:rPr>
          <w:b/>
          <w:sz w:val="32"/>
          <w:szCs w:val="32"/>
        </w:rPr>
        <w:t>Role Profile</w:t>
      </w:r>
    </w:p>
    <w:p w14:paraId="504344BC" w14:textId="77777777" w:rsidR="00A943D7" w:rsidRDefault="00A943D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40"/>
        <w:gridCol w:w="2630"/>
        <w:gridCol w:w="1620"/>
        <w:gridCol w:w="2808"/>
      </w:tblGrid>
      <w:tr w:rsidR="00386B78" w:rsidRPr="00254391" w14:paraId="2EFC158C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3FB0BF75" w14:textId="77777777" w:rsidR="00DB4F41" w:rsidRPr="00254391" w:rsidRDefault="0014076C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Title:</w:t>
            </w:r>
          </w:p>
        </w:tc>
        <w:tc>
          <w:tcPr>
            <w:tcW w:w="2970" w:type="dxa"/>
            <w:gridSpan w:val="2"/>
            <w:vAlign w:val="center"/>
          </w:tcPr>
          <w:p w14:paraId="7AADB934" w14:textId="5ACDDA14" w:rsidR="00DB4F41" w:rsidRPr="00254391" w:rsidRDefault="00583879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Finance Manager </w:t>
            </w:r>
            <w:r w:rsidR="000F38AA">
              <w:rPr>
                <w:sz w:val="22"/>
              </w:rPr>
              <w:t>–</w:t>
            </w:r>
            <w:r w:rsidR="002B216B">
              <w:rPr>
                <w:sz w:val="22"/>
              </w:rPr>
              <w:t xml:space="preserve"> Normanton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5A6E797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Function</w:t>
            </w:r>
            <w:r w:rsidR="00DB4F41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14:paraId="1F0F74AF" w14:textId="77777777" w:rsidR="00DB4F41" w:rsidRPr="00254391" w:rsidRDefault="00583879" w:rsidP="00254391">
            <w:pPr>
              <w:rPr>
                <w:sz w:val="22"/>
              </w:rPr>
            </w:pPr>
            <w:r>
              <w:rPr>
                <w:sz w:val="22"/>
              </w:rPr>
              <w:t>Finance</w:t>
            </w:r>
          </w:p>
        </w:tc>
      </w:tr>
      <w:tr w:rsidR="00386B78" w:rsidRPr="00254391" w14:paraId="550AF86D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17D369A3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Reports to:</w:t>
            </w:r>
          </w:p>
        </w:tc>
        <w:tc>
          <w:tcPr>
            <w:tcW w:w="2970" w:type="dxa"/>
            <w:gridSpan w:val="2"/>
            <w:vAlign w:val="center"/>
          </w:tcPr>
          <w:p w14:paraId="24885A86" w14:textId="77777777" w:rsidR="00DB4F41" w:rsidRPr="00254391" w:rsidRDefault="000F38AA" w:rsidP="00254391">
            <w:pPr>
              <w:rPr>
                <w:sz w:val="22"/>
              </w:rPr>
            </w:pPr>
            <w:r>
              <w:rPr>
                <w:sz w:val="22"/>
              </w:rPr>
              <w:t xml:space="preserve">Head of Finance </w:t>
            </w:r>
            <w:r w:rsidR="00583879">
              <w:rPr>
                <w:sz w:val="22"/>
              </w:rPr>
              <w:t>Operations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E058506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Band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14:paraId="54CCEF73" w14:textId="77777777" w:rsidR="00DB4F41" w:rsidRPr="00254391" w:rsidRDefault="00583879" w:rsidP="0025439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6B78" w:rsidRPr="00254391" w14:paraId="00F67C8B" w14:textId="77777777" w:rsidTr="00254391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14:paraId="20E94BC9" w14:textId="77777777"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Leader of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14:paraId="310D1DDC" w14:textId="77777777" w:rsidR="00DB4F41" w:rsidRPr="00254391" w:rsidRDefault="00963548" w:rsidP="00E02104">
            <w:pPr>
              <w:rPr>
                <w:sz w:val="22"/>
              </w:rPr>
            </w:pPr>
            <w:r>
              <w:rPr>
                <w:sz w:val="22"/>
              </w:rPr>
              <w:t>Normanton</w:t>
            </w:r>
            <w:r w:rsidR="000F38AA">
              <w:rPr>
                <w:sz w:val="22"/>
              </w:rPr>
              <w:t xml:space="preserve"> </w:t>
            </w:r>
            <w:r w:rsidR="00E02104">
              <w:rPr>
                <w:sz w:val="22"/>
              </w:rPr>
              <w:t>F</w:t>
            </w:r>
            <w:r w:rsidR="006D3572">
              <w:rPr>
                <w:sz w:val="22"/>
              </w:rPr>
              <w:t>inance Team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3F5178" w14:textId="77777777" w:rsidR="00DB4F41" w:rsidRPr="00254391" w:rsidRDefault="00E8440E" w:rsidP="00254391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Location:</w:t>
            </w:r>
          </w:p>
        </w:tc>
        <w:tc>
          <w:tcPr>
            <w:tcW w:w="2808" w:type="dxa"/>
            <w:vAlign w:val="center"/>
          </w:tcPr>
          <w:p w14:paraId="1B254C8D" w14:textId="77777777" w:rsidR="00DB4F41" w:rsidRPr="00254391" w:rsidRDefault="006D3572" w:rsidP="00963548">
            <w:pPr>
              <w:rPr>
                <w:sz w:val="22"/>
              </w:rPr>
            </w:pPr>
            <w:r>
              <w:rPr>
                <w:sz w:val="22"/>
              </w:rPr>
              <w:t xml:space="preserve">Normanton </w:t>
            </w:r>
          </w:p>
        </w:tc>
      </w:tr>
      <w:tr w:rsidR="00394B8F" w:rsidRPr="00254391" w14:paraId="2C898B25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0B148045" w14:textId="77777777" w:rsidR="00394B8F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Purpose</w:t>
            </w:r>
          </w:p>
        </w:tc>
      </w:tr>
      <w:tr w:rsidR="00394B8F" w:rsidRPr="00B475DD" w14:paraId="17458828" w14:textId="77777777" w:rsidTr="00394B8F">
        <w:trPr>
          <w:trHeight w:val="608"/>
        </w:trPr>
        <w:tc>
          <w:tcPr>
            <w:tcW w:w="9576" w:type="dxa"/>
            <w:gridSpan w:val="5"/>
            <w:shd w:val="clear" w:color="auto" w:fill="auto"/>
          </w:tcPr>
          <w:p w14:paraId="33ABD2A3" w14:textId="78BC0F3C" w:rsidR="00040213" w:rsidRPr="00040213" w:rsidRDefault="00BB0F56" w:rsidP="00040213">
            <w:pPr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Leading the </w:t>
            </w:r>
            <w:r w:rsidR="00963548">
              <w:rPr>
                <w:rFonts w:cstheme="minorHAnsi"/>
                <w:szCs w:val="20"/>
              </w:rPr>
              <w:t xml:space="preserve">site </w:t>
            </w:r>
            <w:r w:rsidR="000F1D91">
              <w:rPr>
                <w:rFonts w:cstheme="minorHAnsi"/>
                <w:szCs w:val="20"/>
              </w:rPr>
              <w:t xml:space="preserve">finance team and senior </w:t>
            </w:r>
            <w:r w:rsidR="00040213">
              <w:rPr>
                <w:rFonts w:cstheme="minorHAnsi"/>
                <w:szCs w:val="20"/>
              </w:rPr>
              <w:t>business partner</w:t>
            </w:r>
            <w:r w:rsidR="00040213" w:rsidRPr="00040213">
              <w:rPr>
                <w:rFonts w:cstheme="minorHAnsi"/>
                <w:szCs w:val="20"/>
              </w:rPr>
              <w:t xml:space="preserve"> </w:t>
            </w:r>
            <w:r w:rsidR="000F1D91">
              <w:rPr>
                <w:rFonts w:cstheme="minorHAnsi"/>
                <w:szCs w:val="20"/>
              </w:rPr>
              <w:t xml:space="preserve">to the site </w:t>
            </w:r>
            <w:r w:rsidR="00963548">
              <w:rPr>
                <w:rFonts w:cstheme="minorHAnsi"/>
                <w:szCs w:val="20"/>
              </w:rPr>
              <w:t>operational team</w:t>
            </w:r>
            <w:r w:rsidR="004471D0">
              <w:rPr>
                <w:rFonts w:cstheme="minorHAnsi"/>
                <w:szCs w:val="20"/>
              </w:rPr>
              <w:t>s</w:t>
            </w:r>
            <w:r w:rsidR="00963548">
              <w:rPr>
                <w:rFonts w:cstheme="minorHAnsi"/>
                <w:szCs w:val="20"/>
              </w:rPr>
              <w:t xml:space="preserve"> at Normanton</w:t>
            </w:r>
            <w:r w:rsidR="00E86841">
              <w:rPr>
                <w:rFonts w:cstheme="minorHAnsi"/>
                <w:szCs w:val="20"/>
              </w:rPr>
              <w:t xml:space="preserve">. </w:t>
            </w:r>
            <w:r w:rsidR="00963548">
              <w:rPr>
                <w:rFonts w:cstheme="minorHAnsi"/>
                <w:szCs w:val="20"/>
              </w:rPr>
              <w:t xml:space="preserve">A key member of the site leadership team helping to drive operational performance </w:t>
            </w:r>
            <w:r w:rsidR="00040213">
              <w:rPr>
                <w:rFonts w:cstheme="minorHAnsi"/>
                <w:szCs w:val="20"/>
              </w:rPr>
              <w:t>whilst</w:t>
            </w:r>
            <w:r w:rsidR="00040213" w:rsidRPr="00040213">
              <w:rPr>
                <w:rFonts w:cstheme="minorHAnsi"/>
                <w:szCs w:val="20"/>
              </w:rPr>
              <w:t xml:space="preserve"> highlighting opportun</w:t>
            </w:r>
            <w:r w:rsidR="00040213">
              <w:rPr>
                <w:rFonts w:cstheme="minorHAnsi"/>
                <w:szCs w:val="20"/>
              </w:rPr>
              <w:t>ities</w:t>
            </w:r>
            <w:r w:rsidR="00963548">
              <w:rPr>
                <w:rFonts w:cstheme="minorHAnsi"/>
                <w:szCs w:val="20"/>
              </w:rPr>
              <w:t xml:space="preserve"> for areas of improvement</w:t>
            </w:r>
            <w:r w:rsidR="00040213">
              <w:rPr>
                <w:rFonts w:cstheme="minorHAnsi"/>
                <w:szCs w:val="20"/>
              </w:rPr>
              <w:t xml:space="preserve"> and maintaining strong financial control.</w:t>
            </w:r>
            <w:r w:rsidR="000F1D91">
              <w:rPr>
                <w:rFonts w:cstheme="minorHAnsi"/>
                <w:szCs w:val="20"/>
              </w:rPr>
              <w:t xml:space="preserve"> </w:t>
            </w:r>
          </w:p>
          <w:p w14:paraId="61BC7E48" w14:textId="77777777" w:rsidR="00394B8F" w:rsidRDefault="00394B8F" w:rsidP="00B475DD">
            <w:pPr>
              <w:pStyle w:val="Label"/>
            </w:pPr>
          </w:p>
        </w:tc>
      </w:tr>
      <w:tr w:rsidR="00DB7B5C" w:rsidRPr="00254391" w14:paraId="4C8B1625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61852937" w14:textId="77777777" w:rsidR="00DB7B5C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Accountabilities</w:t>
            </w:r>
          </w:p>
        </w:tc>
      </w:tr>
      <w:tr w:rsidR="00394B8F" w:rsidRPr="00B475DD" w14:paraId="5A70E47C" w14:textId="77777777" w:rsidTr="00394B8F">
        <w:tc>
          <w:tcPr>
            <w:tcW w:w="9576" w:type="dxa"/>
            <w:gridSpan w:val="5"/>
            <w:shd w:val="clear" w:color="auto" w:fill="auto"/>
          </w:tcPr>
          <w:p w14:paraId="0EDD6A41" w14:textId="77777777" w:rsidR="00DC2DC9" w:rsidRDefault="00DC2DC9" w:rsidP="00DC2DC9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Site based business partner to operational colleagues.</w:t>
            </w:r>
          </w:p>
          <w:p w14:paraId="5F41E6CD" w14:textId="625FC901" w:rsidR="004E6845" w:rsidRPr="004471D0" w:rsidRDefault="004E6845" w:rsidP="004E6845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>To lead the finance team</w:t>
            </w:r>
            <w:r>
              <w:rPr>
                <w:rFonts w:cstheme="minorHAnsi"/>
                <w:szCs w:val="20"/>
              </w:rPr>
              <w:t xml:space="preserve">s responsible for </w:t>
            </w:r>
            <w:r w:rsidRPr="004471D0">
              <w:rPr>
                <w:rFonts w:cstheme="minorHAnsi"/>
                <w:szCs w:val="20"/>
              </w:rPr>
              <w:t>Normanton.</w:t>
            </w:r>
            <w:r>
              <w:rPr>
                <w:rFonts w:cstheme="minorHAnsi"/>
                <w:szCs w:val="20"/>
              </w:rPr>
              <w:t xml:space="preserve">  </w:t>
            </w:r>
            <w:r w:rsidRPr="004471D0">
              <w:rPr>
                <w:rFonts w:cstheme="minorHAnsi"/>
                <w:szCs w:val="20"/>
              </w:rPr>
              <w:t xml:space="preserve"> </w:t>
            </w:r>
          </w:p>
          <w:p w14:paraId="7E40203C" w14:textId="77777777" w:rsidR="001F0EAF" w:rsidRDefault="001F0EAF" w:rsidP="001F0EAF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Key member of the site SLT.</w:t>
            </w:r>
          </w:p>
          <w:p w14:paraId="7D218EDC" w14:textId="77777777" w:rsidR="001F4B33" w:rsidRPr="004471D0" w:rsidRDefault="001F4B33" w:rsidP="001F4B3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>Ensure strong financial control exists around all operational costs, including direct labour, packaging and overheads. Ensure reconciliations and reporting exists to control these costs.</w:t>
            </w:r>
          </w:p>
          <w:p w14:paraId="0B7291E0" w14:textId="0CAF4F3E" w:rsidR="001F4B33" w:rsidRPr="004471D0" w:rsidRDefault="001F4B33" w:rsidP="001F4B3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 xml:space="preserve">Production of timely and accurate weekly and monthly accounts highlighting operational </w:t>
            </w:r>
            <w:r w:rsidR="00D223AE" w:rsidRPr="004471D0">
              <w:rPr>
                <w:rFonts w:cstheme="minorHAnsi"/>
                <w:szCs w:val="20"/>
              </w:rPr>
              <w:t>performance and</w:t>
            </w:r>
            <w:r w:rsidRPr="004471D0">
              <w:rPr>
                <w:rFonts w:cstheme="minorHAnsi"/>
                <w:szCs w:val="20"/>
              </w:rPr>
              <w:t xml:space="preserve"> working with the business to put corrective actions in place for any underperformance.</w:t>
            </w:r>
          </w:p>
          <w:p w14:paraId="4552ECE8" w14:textId="77777777" w:rsidR="004471D0" w:rsidRPr="004471D0" w:rsidRDefault="004471D0" w:rsidP="004471D0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>Insightful analysis on operational spend, understanding volume, mix and rate variances.</w:t>
            </w:r>
          </w:p>
          <w:p w14:paraId="19575268" w14:textId="77777777" w:rsidR="004471D0" w:rsidRPr="004471D0" w:rsidRDefault="004471D0" w:rsidP="004471D0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 xml:space="preserve">Control of the annual budgeting, and forecasting process for the </w:t>
            </w:r>
            <w:r w:rsidR="00632ADC">
              <w:rPr>
                <w:rFonts w:cstheme="minorHAnsi"/>
                <w:szCs w:val="20"/>
              </w:rPr>
              <w:t xml:space="preserve">site </w:t>
            </w:r>
            <w:r w:rsidRPr="004471D0">
              <w:rPr>
                <w:rFonts w:cstheme="minorHAnsi"/>
                <w:szCs w:val="20"/>
              </w:rPr>
              <w:t>operational P&amp;L.</w:t>
            </w:r>
          </w:p>
          <w:p w14:paraId="46011641" w14:textId="0BBE6744" w:rsidR="00040213" w:rsidRPr="004471D0" w:rsidRDefault="00040213" w:rsidP="004471D0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 xml:space="preserve">Ownership of the product level costing to </w:t>
            </w:r>
            <w:r w:rsidR="00D223AE" w:rsidRPr="004471D0">
              <w:rPr>
                <w:rFonts w:cstheme="minorHAnsi"/>
                <w:szCs w:val="20"/>
              </w:rPr>
              <w:t>Asda and</w:t>
            </w:r>
            <w:r w:rsidRPr="004471D0">
              <w:rPr>
                <w:rFonts w:cstheme="minorHAnsi"/>
                <w:szCs w:val="20"/>
              </w:rPr>
              <w:t xml:space="preserve"> forecasting the cost side of the </w:t>
            </w:r>
            <w:r w:rsidR="000F38AA" w:rsidRPr="004471D0">
              <w:rPr>
                <w:rFonts w:cstheme="minorHAnsi"/>
                <w:szCs w:val="20"/>
              </w:rPr>
              <w:t>Anaplan</w:t>
            </w:r>
            <w:r w:rsidRPr="004471D0">
              <w:rPr>
                <w:rFonts w:cstheme="minorHAnsi"/>
                <w:szCs w:val="20"/>
              </w:rPr>
              <w:t xml:space="preserve"> model. </w:t>
            </w:r>
          </w:p>
          <w:p w14:paraId="32BF977A" w14:textId="77777777" w:rsidR="00040213" w:rsidRPr="004471D0" w:rsidRDefault="00040213" w:rsidP="0004021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4471D0">
              <w:rPr>
                <w:rFonts w:cstheme="minorHAnsi"/>
                <w:szCs w:val="20"/>
              </w:rPr>
              <w:t>Continuous improvement – To drive sustainability of existing savings and provide the financials where required to identify new opportunities in the future. Verify any site specific savings.</w:t>
            </w:r>
          </w:p>
          <w:p w14:paraId="7B22F151" w14:textId="77777777" w:rsidR="00040213" w:rsidRPr="00CC20AC" w:rsidRDefault="00040213" w:rsidP="0004021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CC20AC">
              <w:rPr>
                <w:rFonts w:cstheme="minorHAnsi"/>
                <w:szCs w:val="20"/>
              </w:rPr>
              <w:t>Capex – Identify any capex opportunities including calculation/verification of any associated benefits and the payback period. To control spend throughout the capex and assist the sites to complete post capex reviews.</w:t>
            </w:r>
          </w:p>
          <w:p w14:paraId="0690B401" w14:textId="77777777" w:rsidR="00040213" w:rsidRPr="00A2132E" w:rsidRDefault="00040213" w:rsidP="0004021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A2132E">
              <w:rPr>
                <w:rFonts w:cstheme="minorHAnsi"/>
                <w:szCs w:val="20"/>
              </w:rPr>
              <w:t>Control and challenge operational overhead spend to identify opportunities for savings and risks to prevent overspends</w:t>
            </w:r>
          </w:p>
          <w:p w14:paraId="78563C56" w14:textId="77777777" w:rsidR="00040213" w:rsidRPr="00A2132E" w:rsidRDefault="00040213" w:rsidP="0004021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A2132E">
              <w:rPr>
                <w:rFonts w:cstheme="minorHAnsi"/>
                <w:szCs w:val="20"/>
              </w:rPr>
              <w:t>To deliver financial training to non-finance stakeholders within the business unit team to ensure the teams are clear and accountable on their roles in the finance process, from correctly using purchase orders, to accuratel</w:t>
            </w:r>
            <w:r w:rsidR="000F38AA" w:rsidRPr="00A2132E">
              <w:rPr>
                <w:rFonts w:cstheme="minorHAnsi"/>
                <w:szCs w:val="20"/>
              </w:rPr>
              <w:t>y inputting data into Anaplan</w:t>
            </w:r>
            <w:r w:rsidRPr="00A2132E">
              <w:rPr>
                <w:rFonts w:cstheme="minorHAnsi"/>
                <w:szCs w:val="20"/>
              </w:rPr>
              <w:t>.</w:t>
            </w:r>
          </w:p>
          <w:p w14:paraId="1F55B55E" w14:textId="77777777" w:rsidR="00394B8F" w:rsidRPr="00A2132E" w:rsidRDefault="00040213" w:rsidP="00040213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szCs w:val="20"/>
              </w:rPr>
            </w:pPr>
            <w:r w:rsidRPr="00A2132E">
              <w:rPr>
                <w:rFonts w:cstheme="minorHAnsi"/>
                <w:szCs w:val="20"/>
              </w:rPr>
              <w:t>Stock Management of all sites – Packaging &amp; Raw Material</w:t>
            </w:r>
          </w:p>
          <w:p w14:paraId="361B9005" w14:textId="77777777" w:rsidR="00607A66" w:rsidRPr="00F75D21" w:rsidRDefault="00607A66" w:rsidP="006356D3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color w:val="FF0000"/>
              </w:rPr>
            </w:pPr>
          </w:p>
        </w:tc>
      </w:tr>
      <w:tr w:rsidR="00394B8F" w:rsidRPr="00254391" w14:paraId="185A7F54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14:paraId="37FA4CA1" w14:textId="77777777" w:rsidR="00394B8F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 xml:space="preserve">Skills, Training and Knowledge </w:t>
            </w:r>
          </w:p>
        </w:tc>
      </w:tr>
      <w:tr w:rsidR="00CB38A5" w:rsidRPr="00B475DD" w14:paraId="781B9CFD" w14:textId="77777777" w:rsidTr="005C724B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62D36DE4" w14:textId="77777777" w:rsidR="00CB38A5" w:rsidRPr="005C724B" w:rsidRDefault="005C724B" w:rsidP="00254391">
            <w:pPr>
              <w:rPr>
                <w:b/>
              </w:rPr>
            </w:pPr>
            <w:r w:rsidRPr="005C724B">
              <w:rPr>
                <w:b/>
              </w:rPr>
              <w:t>Qualifications</w:t>
            </w:r>
          </w:p>
        </w:tc>
        <w:tc>
          <w:tcPr>
            <w:tcW w:w="7058" w:type="dxa"/>
            <w:gridSpan w:val="3"/>
          </w:tcPr>
          <w:p w14:paraId="642B9C64" w14:textId="77777777" w:rsidR="00CB38A5" w:rsidRPr="00B475DD" w:rsidRDefault="00040213" w:rsidP="00234744">
            <w:r>
              <w:t xml:space="preserve">CIMA </w:t>
            </w:r>
            <w:r w:rsidR="000F38AA">
              <w:t xml:space="preserve">(or equivalent) </w:t>
            </w:r>
            <w:r>
              <w:t xml:space="preserve">Qualified or </w:t>
            </w:r>
            <w:r w:rsidR="000F38AA">
              <w:t xml:space="preserve">Part Qualified / </w:t>
            </w:r>
            <w:r w:rsidR="00234744">
              <w:t>qualified by</w:t>
            </w:r>
            <w:r w:rsidR="000F38AA">
              <w:t xml:space="preserve"> </w:t>
            </w:r>
            <w:r w:rsidR="006A0778">
              <w:t xml:space="preserve">practical </w:t>
            </w:r>
            <w:r w:rsidR="000F38AA">
              <w:t>experience</w:t>
            </w:r>
            <w:r>
              <w:t>.</w:t>
            </w:r>
          </w:p>
        </w:tc>
      </w:tr>
      <w:tr w:rsidR="00CB38A5" w:rsidRPr="00B475DD" w14:paraId="1B6DEF67" w14:textId="77777777" w:rsidTr="005C724B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56628EFE" w14:textId="77777777" w:rsidR="00CB38A5" w:rsidRPr="005C724B" w:rsidRDefault="005C724B" w:rsidP="00254391">
            <w:pPr>
              <w:rPr>
                <w:b/>
              </w:rPr>
            </w:pPr>
            <w:r w:rsidRPr="005C724B">
              <w:rPr>
                <w:b/>
              </w:rPr>
              <w:t>Skills and Knowledge</w:t>
            </w:r>
          </w:p>
        </w:tc>
        <w:tc>
          <w:tcPr>
            <w:tcW w:w="7058" w:type="dxa"/>
            <w:gridSpan w:val="3"/>
          </w:tcPr>
          <w:p w14:paraId="1E14947F" w14:textId="77777777" w:rsidR="00AA46DC" w:rsidRPr="00A6608E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Strong analytical mind</w:t>
            </w:r>
            <w:r w:rsid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set and variance analysis skills.</w:t>
            </w:r>
          </w:p>
          <w:p w14:paraId="16918709" w14:textId="77777777" w:rsidR="00AA46DC" w:rsidRPr="00A6608E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lastRenderedPageBreak/>
              <w:t>Strong Excel skills required.</w:t>
            </w:r>
          </w:p>
          <w:p w14:paraId="67F60EE7" w14:textId="77777777" w:rsidR="00AA46DC" w:rsidRPr="00A6608E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P</w:t>
            </w:r>
            <w:r w:rsidR="0060726B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r</w:t>
            </w: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ophet / </w:t>
            </w:r>
            <w:r w:rsidR="0060726B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D365 / Anaplan</w:t>
            </w: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skills desirable</w:t>
            </w:r>
            <w:r w:rsid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</w:t>
            </w:r>
          </w:p>
          <w:p w14:paraId="65A69B51" w14:textId="77777777" w:rsidR="00AD4857" w:rsidRPr="00A6608E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Ability to influence at a senior level.</w:t>
            </w:r>
          </w:p>
          <w:p w14:paraId="43A165BE" w14:textId="77777777" w:rsidR="00AA46DC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Operational knowledge desirable. </w:t>
            </w:r>
          </w:p>
          <w:p w14:paraId="21C8F268" w14:textId="77777777" w:rsidR="00F75D21" w:rsidRPr="00A6608E" w:rsidRDefault="00F75D21" w:rsidP="00F75D21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Direct labour and packaging costing experience.</w:t>
            </w:r>
          </w:p>
          <w:p w14:paraId="35084517" w14:textId="77777777" w:rsidR="00AD4857" w:rsidRPr="00A6608E" w:rsidRDefault="00AD4857" w:rsidP="00AA46DC">
            <w:pPr>
              <w:rPr>
                <w:rFonts w:asciiTheme="minorHAnsi" w:eastAsia="Times New Roman" w:hAnsiTheme="minorHAnsi" w:cstheme="minorHAnsi"/>
                <w:vanish/>
                <w:szCs w:val="20"/>
                <w:lang w:val="en-GB" w:eastAsia="en-GB"/>
                <w:specVanish/>
              </w:rPr>
            </w:pPr>
          </w:p>
          <w:p w14:paraId="194F5DDF" w14:textId="77777777" w:rsidR="00AA46DC" w:rsidRPr="00A6608E" w:rsidRDefault="001F4B33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Business partnering experience at a senior level.</w:t>
            </w:r>
          </w:p>
          <w:p w14:paraId="14D0F7AD" w14:textId="77777777" w:rsidR="00AA46DC" w:rsidRPr="00A6608E" w:rsidRDefault="00AA46DC" w:rsidP="00AA46DC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Team leadership. </w:t>
            </w:r>
          </w:p>
          <w:p w14:paraId="2FBA5C26" w14:textId="77777777" w:rsidR="00CB38A5" w:rsidRPr="00B475DD" w:rsidRDefault="00AA46DC" w:rsidP="00AA46DC">
            <w:r w:rsidRPr="00A660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Fresh Produce experience.</w:t>
            </w:r>
          </w:p>
        </w:tc>
      </w:tr>
      <w:tr w:rsidR="002F38C0" w:rsidRPr="00254391" w14:paraId="29DA4E74" w14:textId="77777777" w:rsidTr="00254391">
        <w:trPr>
          <w:trHeight w:val="454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638614D6" w14:textId="77777777" w:rsidR="00020F19" w:rsidRPr="00254391" w:rsidRDefault="00254391" w:rsidP="00254391">
            <w:pPr>
              <w:pStyle w:val="Secondarylabels"/>
              <w:tabs>
                <w:tab w:val="left" w:pos="351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Job Context</w:t>
            </w:r>
          </w:p>
        </w:tc>
      </w:tr>
      <w:tr w:rsidR="005C724B" w:rsidRPr="00B475DD" w14:paraId="7494B65E" w14:textId="77777777" w:rsidTr="00A96682">
        <w:trPr>
          <w:trHeight w:val="21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37008385" w14:textId="77777777" w:rsidR="005C724B" w:rsidRDefault="00A96682" w:rsidP="00020F19">
            <w:pPr>
              <w:pStyle w:val="Secondarylabels"/>
              <w:tabs>
                <w:tab w:val="left" w:pos="3135"/>
              </w:tabs>
            </w:pPr>
            <w:r>
              <w:t>Key Challenges for the Role</w:t>
            </w:r>
            <w:r w:rsidR="005C724B">
              <w:tab/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29C254D1" w14:textId="77777777" w:rsidR="00F75D21" w:rsidRDefault="00F75D21" w:rsidP="00F75D21">
            <w:r>
              <w:t>Assessing operational performance in a fast paced and changing environment</w:t>
            </w:r>
            <w:r w:rsidR="001F4B33">
              <w:t>.</w:t>
            </w:r>
          </w:p>
          <w:p w14:paraId="1F3CA50D" w14:textId="362EDC6E" w:rsidR="00BE0685" w:rsidRPr="006356D3" w:rsidRDefault="00BE0685" w:rsidP="005D3DC3">
            <w:r>
              <w:t xml:space="preserve">Managing multiple stakeholders across </w:t>
            </w:r>
            <w:r w:rsidR="005D3DC3">
              <w:t xml:space="preserve">multiple </w:t>
            </w:r>
            <w:r w:rsidR="00E86841">
              <w:t>areas.</w:t>
            </w:r>
          </w:p>
        </w:tc>
      </w:tr>
      <w:tr w:rsidR="005C724B" w:rsidRPr="00B475DD" w14:paraId="0044119F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08251B67" w14:textId="77777777" w:rsidR="005C724B" w:rsidRDefault="005C724B" w:rsidP="00020F19">
            <w:pPr>
              <w:pStyle w:val="Secondarylabels"/>
              <w:tabs>
                <w:tab w:val="left" w:pos="3135"/>
              </w:tabs>
            </w:pPr>
            <w:r>
              <w:t>KPIs and Measures of Success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1298FD96" w14:textId="77777777" w:rsidR="005C724B" w:rsidRDefault="00BE0685" w:rsidP="006356D3">
            <w:pPr>
              <w:spacing w:before="0" w:after="200" w:line="276" w:lineRule="auto"/>
            </w:pPr>
            <w:r>
              <w:t>Business un</w:t>
            </w:r>
            <w:r w:rsidR="005D3DC3">
              <w:t>it cost per unit vs plan</w:t>
            </w:r>
          </w:p>
          <w:p w14:paraId="12451BB1" w14:textId="77777777" w:rsidR="00BE0685" w:rsidRDefault="00A6608E" w:rsidP="00BB4C68">
            <w:pPr>
              <w:spacing w:before="0" w:after="200" w:line="276" w:lineRule="auto"/>
            </w:pPr>
            <w:r>
              <w:t>FCST accuracy of IPL Trade Fund &lt;</w:t>
            </w:r>
            <w:r w:rsidR="00BB4C68">
              <w:t>2%</w:t>
            </w:r>
            <w:r>
              <w:t xml:space="preserve"> variance vs F2 FCST</w:t>
            </w:r>
          </w:p>
        </w:tc>
      </w:tr>
      <w:tr w:rsidR="005C724B" w:rsidRPr="00B475DD" w14:paraId="138EE5CD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4E64BCB4" w14:textId="77777777" w:rsidR="005C724B" w:rsidRDefault="005C724B" w:rsidP="00020F19">
            <w:pPr>
              <w:pStyle w:val="Secondarylabels"/>
              <w:tabs>
                <w:tab w:val="left" w:pos="3135"/>
              </w:tabs>
            </w:pPr>
            <w:r>
              <w:t>Key Internal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09A82B39" w14:textId="77777777" w:rsidR="005C724B" w:rsidRPr="006356D3" w:rsidRDefault="001F4B33" w:rsidP="00BB4C68">
            <w:pPr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Operational Finance team / Produce commercial finance / Operational SMT</w:t>
            </w:r>
          </w:p>
        </w:tc>
      </w:tr>
      <w:tr w:rsidR="005C724B" w:rsidRPr="00B475DD" w14:paraId="51C94CD6" w14:textId="77777777" w:rsidTr="00A96682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6C12B6DF" w14:textId="77777777" w:rsidR="005C724B" w:rsidRDefault="005C724B" w:rsidP="00020F19">
            <w:pPr>
              <w:pStyle w:val="Secondarylabels"/>
              <w:tabs>
                <w:tab w:val="left" w:pos="3135"/>
              </w:tabs>
            </w:pPr>
            <w:r>
              <w:t>Key External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24FE7B34" w14:textId="77777777" w:rsidR="005C724B" w:rsidRPr="006356D3" w:rsidRDefault="00A6608E" w:rsidP="00020F19">
            <w:pPr>
              <w:pStyle w:val="Secondarylabels"/>
              <w:tabs>
                <w:tab w:val="left" w:pos="3135"/>
              </w:tabs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2F38C0" w:rsidRPr="00254391" w14:paraId="2DEF4BC2" w14:textId="77777777" w:rsidTr="00254391">
        <w:trPr>
          <w:trHeight w:val="300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32958A81" w14:textId="77777777" w:rsidR="002F38C0" w:rsidRPr="00254391" w:rsidRDefault="002F38C0" w:rsidP="00254391">
            <w:pPr>
              <w:pStyle w:val="Secondarylabels"/>
              <w:rPr>
                <w:sz w:val="22"/>
              </w:rPr>
            </w:pPr>
            <w:r w:rsidRPr="00254391">
              <w:rPr>
                <w:sz w:val="22"/>
              </w:rPr>
              <w:t>Dimensions and Decision Making</w:t>
            </w:r>
          </w:p>
        </w:tc>
      </w:tr>
      <w:tr w:rsidR="00254391" w:rsidRPr="00B475DD" w14:paraId="4D95C1BC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503A2399" w14:textId="77777777" w:rsidR="00254391" w:rsidRDefault="00254391" w:rsidP="002F38C0">
            <w:pPr>
              <w:pStyle w:val="Secondarylabels"/>
            </w:pPr>
            <w:r>
              <w:t>Budget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6174816B" w14:textId="77777777" w:rsidR="005C724B" w:rsidRDefault="005D3DC3" w:rsidP="00DE0D49">
            <w:pPr>
              <w:pStyle w:val="Secondarylabels"/>
              <w:tabs>
                <w:tab w:val="left" w:pos="2115"/>
              </w:tabs>
              <w:spacing w:before="0" w:after="0"/>
            </w:pPr>
            <w:r>
              <w:t>N/A</w:t>
            </w:r>
          </w:p>
        </w:tc>
      </w:tr>
      <w:tr w:rsidR="00254391" w:rsidRPr="00B475DD" w14:paraId="3BEE9FA1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0536174D" w14:textId="77777777" w:rsidR="00254391" w:rsidRDefault="00254391" w:rsidP="002F38C0">
            <w:pPr>
              <w:pStyle w:val="Secondarylabels"/>
            </w:pPr>
            <w:r>
              <w:t>Direct Reports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07289BD3" w14:textId="7F4B056B" w:rsidR="00254391" w:rsidRPr="006356D3" w:rsidRDefault="00E86841" w:rsidP="006356D3">
            <w:pPr>
              <w:spacing w:before="0" w:after="200" w:line="276" w:lineRule="auto"/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1</w:t>
            </w:r>
            <w:r w:rsidR="00A2132E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 (L3 @ Normanton</w:t>
            </w: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)</w:t>
            </w:r>
          </w:p>
        </w:tc>
      </w:tr>
      <w:tr w:rsidR="00254391" w:rsidRPr="00B475DD" w14:paraId="07F4E531" w14:textId="77777777" w:rsidTr="00254391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4C6EC33F" w14:textId="77777777" w:rsidR="00254391" w:rsidRDefault="00254391" w:rsidP="002F38C0">
            <w:pPr>
              <w:pStyle w:val="Secondarylabels"/>
            </w:pPr>
            <w:r>
              <w:t>Indirect Report</w:t>
            </w:r>
          </w:p>
        </w:tc>
        <w:tc>
          <w:tcPr>
            <w:tcW w:w="7058" w:type="dxa"/>
            <w:gridSpan w:val="3"/>
            <w:shd w:val="clear" w:color="auto" w:fill="auto"/>
          </w:tcPr>
          <w:p w14:paraId="504526F8" w14:textId="77777777" w:rsidR="00254391" w:rsidRDefault="001F4B33" w:rsidP="00462E8C">
            <w:r>
              <w:t>0</w:t>
            </w:r>
          </w:p>
        </w:tc>
      </w:tr>
    </w:tbl>
    <w:p w14:paraId="59094E42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C040" w14:textId="77777777" w:rsidR="004C74C4" w:rsidRDefault="004C74C4" w:rsidP="00037D55">
      <w:pPr>
        <w:spacing w:before="0" w:after="0"/>
      </w:pPr>
      <w:r>
        <w:separator/>
      </w:r>
    </w:p>
  </w:endnote>
  <w:endnote w:type="continuationSeparator" w:id="0">
    <w:p w14:paraId="1C7EE46E" w14:textId="77777777" w:rsidR="004C74C4" w:rsidRDefault="004C74C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1769" w14:textId="77777777" w:rsidR="00A96682" w:rsidRDefault="00A96682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18"/>
      <w:gridCol w:w="3330"/>
      <w:gridCol w:w="1620"/>
      <w:gridCol w:w="2808"/>
    </w:tblGrid>
    <w:tr w:rsidR="00A96682" w:rsidRPr="00B475DD" w14:paraId="112EDC96" w14:textId="77777777" w:rsidTr="00995FEA">
      <w:tc>
        <w:tcPr>
          <w:tcW w:w="1818" w:type="dxa"/>
          <w:shd w:val="clear" w:color="auto" w:fill="F2F2F2"/>
        </w:tcPr>
        <w:p w14:paraId="08D5CC33" w14:textId="77777777" w:rsidR="00A96682" w:rsidRPr="00B475DD" w:rsidRDefault="00A96682" w:rsidP="00995FEA">
          <w:r>
            <w:t>Submitted</w:t>
          </w:r>
          <w:r w:rsidRPr="00B475DD">
            <w:t xml:space="preserve"> By:</w:t>
          </w:r>
        </w:p>
      </w:tc>
      <w:tc>
        <w:tcPr>
          <w:tcW w:w="3330" w:type="dxa"/>
        </w:tcPr>
        <w:p w14:paraId="0D0764B9" w14:textId="77777777" w:rsidR="00A96682" w:rsidRPr="00B475DD" w:rsidRDefault="00A96682" w:rsidP="00995FEA"/>
      </w:tc>
      <w:tc>
        <w:tcPr>
          <w:tcW w:w="1620" w:type="dxa"/>
          <w:tcBorders>
            <w:bottom w:val="single" w:sz="4" w:space="0" w:color="000000"/>
          </w:tcBorders>
          <w:shd w:val="clear" w:color="auto" w:fill="F2F2F2"/>
        </w:tcPr>
        <w:p w14:paraId="6FAFC1EB" w14:textId="77777777" w:rsidR="00A96682" w:rsidRPr="00B475DD" w:rsidRDefault="00A96682" w:rsidP="00995FEA">
          <w:r w:rsidRPr="00B475DD">
            <w:t>Date:</w:t>
          </w:r>
        </w:p>
      </w:tc>
      <w:tc>
        <w:tcPr>
          <w:tcW w:w="2808" w:type="dxa"/>
        </w:tcPr>
        <w:p w14:paraId="44AF391D" w14:textId="77777777" w:rsidR="00A96682" w:rsidRPr="00B475DD" w:rsidRDefault="00A96682" w:rsidP="00995FEA"/>
      </w:tc>
    </w:tr>
    <w:tr w:rsidR="00A96682" w:rsidRPr="00B475DD" w14:paraId="216D065B" w14:textId="77777777" w:rsidTr="00995FEA">
      <w:tc>
        <w:tcPr>
          <w:tcW w:w="1818" w:type="dxa"/>
          <w:shd w:val="clear" w:color="auto" w:fill="F2F2F2"/>
        </w:tcPr>
        <w:p w14:paraId="4DD1322B" w14:textId="77777777" w:rsidR="00A96682" w:rsidRPr="00B475DD" w:rsidRDefault="00A96682" w:rsidP="00995FEA">
          <w:r>
            <w:t>Evaluated By</w:t>
          </w:r>
          <w:r w:rsidRPr="00B475DD">
            <w:t>:</w:t>
          </w:r>
        </w:p>
      </w:tc>
      <w:tc>
        <w:tcPr>
          <w:tcW w:w="3330" w:type="dxa"/>
        </w:tcPr>
        <w:p w14:paraId="6D7E86FE" w14:textId="77777777" w:rsidR="00A96682" w:rsidRPr="00B475DD" w:rsidRDefault="00A96682" w:rsidP="00995FEA"/>
      </w:tc>
      <w:tc>
        <w:tcPr>
          <w:tcW w:w="1620" w:type="dxa"/>
          <w:shd w:val="clear" w:color="auto" w:fill="F2F2F2"/>
        </w:tcPr>
        <w:p w14:paraId="2A0DA347" w14:textId="77777777" w:rsidR="00A96682" w:rsidRPr="00B475DD" w:rsidRDefault="00A96682" w:rsidP="00995FEA">
          <w:r w:rsidRPr="00B475DD">
            <w:t>Date:</w:t>
          </w:r>
        </w:p>
      </w:tc>
      <w:tc>
        <w:tcPr>
          <w:tcW w:w="2808" w:type="dxa"/>
        </w:tcPr>
        <w:p w14:paraId="683DAEEF" w14:textId="77777777" w:rsidR="00A96682" w:rsidRPr="00B475DD" w:rsidRDefault="00A96682" w:rsidP="00995FEA"/>
      </w:tc>
    </w:tr>
  </w:tbl>
  <w:p w14:paraId="6E998A60" w14:textId="77777777" w:rsidR="00A96682" w:rsidRDefault="00A96682" w:rsidP="00A96682"/>
  <w:p w14:paraId="135E835B" w14:textId="77777777" w:rsidR="00A96682" w:rsidRDefault="00A96682">
    <w:pPr>
      <w:pStyle w:val="Footer"/>
    </w:pPr>
  </w:p>
  <w:p w14:paraId="2BE204EA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9161" w14:textId="77777777" w:rsidR="004C74C4" w:rsidRDefault="004C74C4" w:rsidP="00037D55">
      <w:pPr>
        <w:spacing w:before="0" w:after="0"/>
      </w:pPr>
      <w:r>
        <w:separator/>
      </w:r>
    </w:p>
  </w:footnote>
  <w:footnote w:type="continuationSeparator" w:id="0">
    <w:p w14:paraId="1348FE3A" w14:textId="77777777" w:rsidR="004C74C4" w:rsidRDefault="004C74C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2AA2" w14:textId="77777777" w:rsidR="00037D55" w:rsidRPr="00841DC8" w:rsidRDefault="00A943D7" w:rsidP="00A943D7">
    <w:pPr>
      <w:pStyle w:val="Companyname"/>
    </w:pPr>
    <w:r>
      <w:rPr>
        <w:noProof/>
        <w:lang w:val="en-GB" w:eastAsia="en-GB"/>
      </w:rPr>
      <w:drawing>
        <wp:inline distT="0" distB="0" distL="0" distR="0" wp14:anchorId="6C16A689" wp14:editId="3BFFD5AC">
          <wp:extent cx="2215723" cy="542925"/>
          <wp:effectExtent l="0" t="0" r="0" b="0"/>
          <wp:docPr id="5" name="Picture 5" descr="http://intranet/images/IPL%20Logo/Horizontal-stacked-Full-Colou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mages/IPL%20Logo/Horizontal-stacked-Full-Colou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17" cy="54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728"/>
    <w:multiLevelType w:val="hybridMultilevel"/>
    <w:tmpl w:val="8FD6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C83"/>
    <w:multiLevelType w:val="hybridMultilevel"/>
    <w:tmpl w:val="4184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720"/>
    <w:multiLevelType w:val="hybridMultilevel"/>
    <w:tmpl w:val="35B2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1BA0"/>
    <w:multiLevelType w:val="hybridMultilevel"/>
    <w:tmpl w:val="0B680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790"/>
    <w:multiLevelType w:val="hybridMultilevel"/>
    <w:tmpl w:val="4BC63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860C5"/>
    <w:multiLevelType w:val="hybridMultilevel"/>
    <w:tmpl w:val="7DFEE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E622B"/>
    <w:multiLevelType w:val="hybridMultilevel"/>
    <w:tmpl w:val="C486E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B5446"/>
    <w:multiLevelType w:val="hybridMultilevel"/>
    <w:tmpl w:val="B55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C0A59"/>
    <w:multiLevelType w:val="hybridMultilevel"/>
    <w:tmpl w:val="671A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461F87"/>
    <w:multiLevelType w:val="hybridMultilevel"/>
    <w:tmpl w:val="61BA7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C80D17"/>
    <w:multiLevelType w:val="hybridMultilevel"/>
    <w:tmpl w:val="E0ACB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657749">
    <w:abstractNumId w:val="9"/>
  </w:num>
  <w:num w:numId="2" w16cid:durableId="1634285819">
    <w:abstractNumId w:val="1"/>
  </w:num>
  <w:num w:numId="3" w16cid:durableId="855000713">
    <w:abstractNumId w:val="3"/>
  </w:num>
  <w:num w:numId="4" w16cid:durableId="1394160676">
    <w:abstractNumId w:val="12"/>
  </w:num>
  <w:num w:numId="5" w16cid:durableId="970015062">
    <w:abstractNumId w:val="7"/>
  </w:num>
  <w:num w:numId="6" w16cid:durableId="1835679738">
    <w:abstractNumId w:val="10"/>
  </w:num>
  <w:num w:numId="7" w16cid:durableId="392504007">
    <w:abstractNumId w:val="6"/>
  </w:num>
  <w:num w:numId="8" w16cid:durableId="981275062">
    <w:abstractNumId w:val="5"/>
  </w:num>
  <w:num w:numId="9" w16cid:durableId="1676376557">
    <w:abstractNumId w:val="11"/>
  </w:num>
  <w:num w:numId="10" w16cid:durableId="722600289">
    <w:abstractNumId w:val="0"/>
  </w:num>
  <w:num w:numId="11" w16cid:durableId="220485128">
    <w:abstractNumId w:val="2"/>
  </w:num>
  <w:num w:numId="12" w16cid:durableId="539323652">
    <w:abstractNumId w:val="8"/>
  </w:num>
  <w:num w:numId="13" w16cid:durableId="1382633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8F"/>
    <w:rsid w:val="00020F19"/>
    <w:rsid w:val="000327B2"/>
    <w:rsid w:val="00037D55"/>
    <w:rsid w:val="00040213"/>
    <w:rsid w:val="000C5A46"/>
    <w:rsid w:val="000F1D91"/>
    <w:rsid w:val="000F38AA"/>
    <w:rsid w:val="00114FAC"/>
    <w:rsid w:val="0012566B"/>
    <w:rsid w:val="0014076C"/>
    <w:rsid w:val="00147A54"/>
    <w:rsid w:val="001A24F2"/>
    <w:rsid w:val="001F0EAF"/>
    <w:rsid w:val="001F4B33"/>
    <w:rsid w:val="00201D1A"/>
    <w:rsid w:val="00234744"/>
    <w:rsid w:val="002421DC"/>
    <w:rsid w:val="00254391"/>
    <w:rsid w:val="00276A6F"/>
    <w:rsid w:val="002B216B"/>
    <w:rsid w:val="002F38C0"/>
    <w:rsid w:val="00365061"/>
    <w:rsid w:val="00374F55"/>
    <w:rsid w:val="003829AA"/>
    <w:rsid w:val="00386B78"/>
    <w:rsid w:val="00394B8F"/>
    <w:rsid w:val="00430720"/>
    <w:rsid w:val="0043241A"/>
    <w:rsid w:val="004407A1"/>
    <w:rsid w:val="004471D0"/>
    <w:rsid w:val="00455D2F"/>
    <w:rsid w:val="00462E8C"/>
    <w:rsid w:val="004A1B2D"/>
    <w:rsid w:val="004C74C4"/>
    <w:rsid w:val="004E6845"/>
    <w:rsid w:val="00500155"/>
    <w:rsid w:val="00513A72"/>
    <w:rsid w:val="00516A0F"/>
    <w:rsid w:val="00562A56"/>
    <w:rsid w:val="00566F1F"/>
    <w:rsid w:val="00583879"/>
    <w:rsid w:val="00592652"/>
    <w:rsid w:val="005A3B49"/>
    <w:rsid w:val="005C724B"/>
    <w:rsid w:val="005D3DC3"/>
    <w:rsid w:val="005E3FE3"/>
    <w:rsid w:val="0060216F"/>
    <w:rsid w:val="0060726B"/>
    <w:rsid w:val="00607A66"/>
    <w:rsid w:val="006209C6"/>
    <w:rsid w:val="00632ADC"/>
    <w:rsid w:val="006356D3"/>
    <w:rsid w:val="006A0778"/>
    <w:rsid w:val="006B253D"/>
    <w:rsid w:val="006C5CCB"/>
    <w:rsid w:val="006D3572"/>
    <w:rsid w:val="006F59DD"/>
    <w:rsid w:val="00774232"/>
    <w:rsid w:val="007B5567"/>
    <w:rsid w:val="007B6A52"/>
    <w:rsid w:val="007C28D1"/>
    <w:rsid w:val="007E0FA1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63548"/>
    <w:rsid w:val="0099370D"/>
    <w:rsid w:val="00A01E8A"/>
    <w:rsid w:val="00A2132E"/>
    <w:rsid w:val="00A359F5"/>
    <w:rsid w:val="00A60A0D"/>
    <w:rsid w:val="00A6608E"/>
    <w:rsid w:val="00A81673"/>
    <w:rsid w:val="00A943D7"/>
    <w:rsid w:val="00A96682"/>
    <w:rsid w:val="00AA46DC"/>
    <w:rsid w:val="00AD4857"/>
    <w:rsid w:val="00B475DD"/>
    <w:rsid w:val="00BB0F56"/>
    <w:rsid w:val="00BB2F85"/>
    <w:rsid w:val="00BB4C68"/>
    <w:rsid w:val="00BD0958"/>
    <w:rsid w:val="00BE0685"/>
    <w:rsid w:val="00C22FD2"/>
    <w:rsid w:val="00C25BFB"/>
    <w:rsid w:val="00C36FC3"/>
    <w:rsid w:val="00C41450"/>
    <w:rsid w:val="00C76253"/>
    <w:rsid w:val="00CB38A5"/>
    <w:rsid w:val="00CC20AC"/>
    <w:rsid w:val="00CC4A82"/>
    <w:rsid w:val="00CD3550"/>
    <w:rsid w:val="00CF467A"/>
    <w:rsid w:val="00D17CF6"/>
    <w:rsid w:val="00D223AE"/>
    <w:rsid w:val="00D32F04"/>
    <w:rsid w:val="00D57E96"/>
    <w:rsid w:val="00D91CE6"/>
    <w:rsid w:val="00D921F1"/>
    <w:rsid w:val="00DB4F41"/>
    <w:rsid w:val="00DB7B5C"/>
    <w:rsid w:val="00DC2DC9"/>
    <w:rsid w:val="00DC2EEE"/>
    <w:rsid w:val="00DE0D49"/>
    <w:rsid w:val="00DE106F"/>
    <w:rsid w:val="00E0032A"/>
    <w:rsid w:val="00E02104"/>
    <w:rsid w:val="00E23F93"/>
    <w:rsid w:val="00E25F48"/>
    <w:rsid w:val="00E26A5C"/>
    <w:rsid w:val="00E8440E"/>
    <w:rsid w:val="00E86841"/>
    <w:rsid w:val="00EA68A2"/>
    <w:rsid w:val="00F06F66"/>
    <w:rsid w:val="00F10053"/>
    <w:rsid w:val="00F75D21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5C9AB0"/>
  <w15:docId w15:val="{A4D2C6BC-0BAD-41BB-88DB-0D74139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C72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D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milton\AppData\Roaming\microsoft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920F-FFED-48C3-8C84-4097CE5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Hamilton</dc:creator>
  <cp:lastModifiedBy>Philip Yeomans</cp:lastModifiedBy>
  <cp:revision>4</cp:revision>
  <cp:lastPrinted>1901-01-01T00:00:00Z</cp:lastPrinted>
  <dcterms:created xsi:type="dcterms:W3CDTF">2024-08-23T12:27:00Z</dcterms:created>
  <dcterms:modified xsi:type="dcterms:W3CDTF">2024-08-23T12:31:00Z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